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tblpY="1291"/>
        <w:tblW w:w="9464" w:type="dxa"/>
        <w:tblLook w:val="04A0" w:firstRow="1" w:lastRow="0" w:firstColumn="1" w:lastColumn="0" w:noHBand="0" w:noVBand="1"/>
      </w:tblPr>
      <w:tblGrid>
        <w:gridCol w:w="1668"/>
        <w:gridCol w:w="5827"/>
        <w:gridCol w:w="1969"/>
      </w:tblGrid>
      <w:tr w:rsidR="009E58E3" w:rsidTr="004F3E82">
        <w:trPr>
          <w:trHeight w:val="425"/>
        </w:trPr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</w:rPr>
            </w:pPr>
            <w:r w:rsidRPr="0036601E">
              <w:rPr>
                <w:rFonts w:ascii="Arial" w:hAnsi="Arial" w:cs="Arial"/>
                <w:b/>
              </w:rPr>
              <w:t>Tidig rehab</w:t>
            </w:r>
          </w:p>
          <w:p w:rsidR="009E58E3" w:rsidRDefault="009E58E3" w:rsidP="004F3E82"/>
        </w:tc>
        <w:tc>
          <w:tcPr>
            <w:tcW w:w="5827" w:type="dxa"/>
          </w:tcPr>
          <w:p w:rsidR="009E58E3" w:rsidRPr="00747151" w:rsidRDefault="00747151" w:rsidP="004F3E82">
            <w:pPr>
              <w:rPr>
                <w:rFonts w:ascii="Arial" w:hAnsi="Arial" w:cs="Arial"/>
              </w:rPr>
            </w:pPr>
            <w:r w:rsidRPr="0036601E">
              <w:rPr>
                <w:rFonts w:ascii="Arial" w:hAnsi="Arial" w:cs="Arial"/>
              </w:rPr>
              <w:t>Se över möjlighet till förebyggande sjukpenning.</w:t>
            </w:r>
          </w:p>
        </w:tc>
        <w:tc>
          <w:tcPr>
            <w:tcW w:w="1969" w:type="dxa"/>
          </w:tcPr>
          <w:p w:rsidR="009E58E3" w:rsidRDefault="009E58E3" w:rsidP="004F3E82"/>
        </w:tc>
      </w:tr>
      <w:tr w:rsidR="009E58E3" w:rsidTr="004F3E82">
        <w:trPr>
          <w:trHeight w:val="574"/>
        </w:trPr>
        <w:tc>
          <w:tcPr>
            <w:tcW w:w="1668" w:type="dxa"/>
          </w:tcPr>
          <w:p w:rsidR="009E58E3" w:rsidRPr="00747151" w:rsidRDefault="00747151" w:rsidP="004F3E82">
            <w:pPr>
              <w:rPr>
                <w:rFonts w:ascii="Arial" w:hAnsi="Arial" w:cs="Arial"/>
                <w:b/>
              </w:rPr>
            </w:pPr>
            <w:r w:rsidRPr="0036601E">
              <w:rPr>
                <w:rFonts w:ascii="Arial" w:hAnsi="Arial" w:cs="Arial"/>
                <w:b/>
              </w:rPr>
              <w:t>Dag 2-14</w:t>
            </w:r>
          </w:p>
        </w:tc>
        <w:tc>
          <w:tcPr>
            <w:tcW w:w="5827" w:type="dxa"/>
          </w:tcPr>
          <w:p w:rsidR="009E58E3" w:rsidRDefault="009E58E3" w:rsidP="004F3E82"/>
        </w:tc>
        <w:tc>
          <w:tcPr>
            <w:tcW w:w="1969" w:type="dxa"/>
          </w:tcPr>
          <w:p w:rsidR="009E58E3" w:rsidRPr="00747151" w:rsidRDefault="00747151" w:rsidP="004F3E82">
            <w:pPr>
              <w:rPr>
                <w:rFonts w:ascii="Arial" w:hAnsi="Arial" w:cs="Arial"/>
              </w:rPr>
            </w:pPr>
            <w:r w:rsidRPr="0036601E">
              <w:rPr>
                <w:rFonts w:ascii="Arial" w:hAnsi="Arial" w:cs="Arial"/>
              </w:rPr>
              <w:t>AG betalar 80 % av lön.</w:t>
            </w:r>
          </w:p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</w:rPr>
            </w:pPr>
            <w:r w:rsidRPr="0036601E">
              <w:rPr>
                <w:rFonts w:ascii="Arial" w:hAnsi="Arial" w:cs="Arial"/>
                <w:b/>
              </w:rPr>
              <w:t>Dag 15-90</w:t>
            </w:r>
          </w:p>
          <w:p w:rsidR="009E58E3" w:rsidRDefault="009E58E3" w:rsidP="004F3E82"/>
        </w:tc>
        <w:tc>
          <w:tcPr>
            <w:tcW w:w="5827" w:type="dxa"/>
          </w:tcPr>
          <w:p w:rsidR="009E58E3" w:rsidRDefault="00747151" w:rsidP="004F3E82">
            <w:r w:rsidRPr="0036601E">
              <w:rPr>
                <w:rFonts w:ascii="Arial" w:hAnsi="Arial" w:cs="Arial"/>
              </w:rPr>
              <w:t>Bedömningen görs utifrån om medarbetaren kan utföra sitt vanliga arbete/andra tillfälliga arbetsuppgifter, alt anpassa arbetsplatsen/arbetsförhållanden</w:t>
            </w:r>
          </w:p>
        </w:tc>
        <w:tc>
          <w:tcPr>
            <w:tcW w:w="1969" w:type="dxa"/>
          </w:tcPr>
          <w:p w:rsidR="00747151" w:rsidRPr="0036601E" w:rsidRDefault="00747151" w:rsidP="004F3E82">
            <w:pPr>
              <w:rPr>
                <w:rFonts w:ascii="Arial" w:hAnsi="Arial" w:cs="Arial"/>
              </w:rPr>
            </w:pPr>
            <w:r w:rsidRPr="0036601E">
              <w:rPr>
                <w:rFonts w:ascii="Arial" w:hAnsi="Arial" w:cs="Arial"/>
              </w:rPr>
              <w:t>FK betala ca 80 % av lön, AG 10 %</w:t>
            </w:r>
          </w:p>
          <w:p w:rsidR="009E58E3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  <w:bCs/>
                <w:iCs/>
              </w:rPr>
            </w:pPr>
            <w:r w:rsidRPr="0036601E">
              <w:rPr>
                <w:rFonts w:ascii="Arial" w:hAnsi="Arial" w:cs="Arial"/>
                <w:b/>
                <w:bCs/>
                <w:iCs/>
              </w:rPr>
              <w:t>Dag 90</w:t>
            </w:r>
          </w:p>
          <w:p w:rsidR="009E58E3" w:rsidRDefault="009E58E3" w:rsidP="004F3E82"/>
        </w:tc>
        <w:tc>
          <w:tcPr>
            <w:tcW w:w="5827" w:type="dxa"/>
          </w:tcPr>
          <w:p w:rsidR="009E58E3" w:rsidRDefault="00747151" w:rsidP="004F3E82">
            <w:r w:rsidRPr="0036601E">
              <w:rPr>
                <w:rFonts w:ascii="Arial" w:hAnsi="Arial" w:cs="Arial"/>
                <w:b/>
                <w:bCs/>
                <w:iCs/>
              </w:rPr>
              <w:t>Medarbetaren måste själv anmäla sin sjukdom till AFA för att få ersättning.</w:t>
            </w:r>
          </w:p>
        </w:tc>
        <w:tc>
          <w:tcPr>
            <w:tcW w:w="1969" w:type="dxa"/>
          </w:tcPr>
          <w:p w:rsidR="00747151" w:rsidRDefault="00747151" w:rsidP="004F3E82">
            <w:r w:rsidRPr="0036601E">
              <w:rPr>
                <w:rFonts w:ascii="Arial" w:hAnsi="Arial" w:cs="Arial"/>
                <w:bCs/>
                <w:iCs/>
              </w:rPr>
              <w:t>FK ca 80 % av lön, AFA 10%.</w:t>
            </w:r>
          </w:p>
          <w:p w:rsidR="009E58E3" w:rsidRPr="00747151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</w:rPr>
            </w:pPr>
            <w:r w:rsidRPr="0036601E">
              <w:rPr>
                <w:rFonts w:ascii="Arial" w:hAnsi="Arial" w:cs="Arial"/>
                <w:b/>
              </w:rPr>
              <w:t>Dag 91-180</w:t>
            </w:r>
          </w:p>
          <w:p w:rsidR="009E58E3" w:rsidRDefault="009E58E3" w:rsidP="004F3E82"/>
        </w:tc>
        <w:tc>
          <w:tcPr>
            <w:tcW w:w="5827" w:type="dxa"/>
          </w:tcPr>
          <w:p w:rsidR="00747151" w:rsidRPr="0036601E" w:rsidRDefault="00521F20" w:rsidP="004F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151" w:rsidRPr="0036601E">
              <w:rPr>
                <w:rFonts w:ascii="Arial" w:hAnsi="Arial" w:cs="Arial"/>
              </w:rPr>
              <w:t>edarbetaren</w:t>
            </w:r>
            <w:r>
              <w:rPr>
                <w:rFonts w:ascii="Arial" w:hAnsi="Arial" w:cs="Arial"/>
              </w:rPr>
              <w:t xml:space="preserve"> bedöms mot</w:t>
            </w:r>
            <w:r w:rsidR="00747151" w:rsidRPr="0036601E">
              <w:rPr>
                <w:rFonts w:ascii="Arial" w:hAnsi="Arial" w:cs="Arial"/>
              </w:rPr>
              <w:t xml:space="preserve"> sina vanliga arbetsuppgifter eller annat lämpligt arbete som kan erbjudas</w:t>
            </w:r>
            <w:r>
              <w:rPr>
                <w:rFonts w:ascii="Arial" w:hAnsi="Arial" w:cs="Arial"/>
              </w:rPr>
              <w:t xml:space="preserve"> hos arbetsgivaren</w:t>
            </w:r>
            <w:r w:rsidR="00747151" w:rsidRPr="0036601E">
              <w:rPr>
                <w:rFonts w:ascii="Arial" w:hAnsi="Arial" w:cs="Arial"/>
              </w:rPr>
              <w:t xml:space="preserve">. FK utreder huruvida medarbetaren skulle kunna utföra ngt arbete på annan arbetsplats </w:t>
            </w:r>
            <w:r w:rsidR="00747151">
              <w:rPr>
                <w:rFonts w:ascii="Arial" w:hAnsi="Arial" w:cs="Arial"/>
              </w:rPr>
              <w:t xml:space="preserve">hos </w:t>
            </w:r>
            <w:r w:rsidR="00747151" w:rsidRPr="0036601E">
              <w:rPr>
                <w:rFonts w:ascii="Arial" w:hAnsi="Arial" w:cs="Arial"/>
              </w:rPr>
              <w:t xml:space="preserve">AG fram till dag 180. Finns </w:t>
            </w:r>
            <w:r w:rsidR="00747151" w:rsidRPr="0036601E">
              <w:rPr>
                <w:rFonts w:ascii="Arial" w:hAnsi="Arial" w:cs="Arial"/>
                <w:b/>
              </w:rPr>
              <w:t>särskilda skäl</w:t>
            </w:r>
            <w:r w:rsidR="00747151" w:rsidRPr="0036601E">
              <w:rPr>
                <w:rFonts w:ascii="Arial" w:hAnsi="Arial" w:cs="Arial"/>
              </w:rPr>
              <w:t xml:space="preserve"> fortlöper ersättningsperioden (se nedan).</w:t>
            </w:r>
          </w:p>
          <w:p w:rsidR="009E58E3" w:rsidRPr="00747151" w:rsidRDefault="009E58E3" w:rsidP="004F3E82"/>
        </w:tc>
        <w:tc>
          <w:tcPr>
            <w:tcW w:w="1969" w:type="dxa"/>
          </w:tcPr>
          <w:p w:rsidR="009E58E3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  <w:bCs/>
                <w:iCs/>
              </w:rPr>
            </w:pPr>
            <w:r w:rsidRPr="0036601E">
              <w:rPr>
                <w:rFonts w:ascii="Arial" w:hAnsi="Arial" w:cs="Arial"/>
                <w:b/>
                <w:bCs/>
                <w:iCs/>
              </w:rPr>
              <w:t>Dag 181-365</w:t>
            </w:r>
          </w:p>
          <w:p w:rsidR="009E58E3" w:rsidRDefault="009E58E3" w:rsidP="004F3E82"/>
        </w:tc>
        <w:tc>
          <w:tcPr>
            <w:tcW w:w="5827" w:type="dxa"/>
          </w:tcPr>
          <w:p w:rsidR="00B91E74" w:rsidRDefault="00521F20" w:rsidP="004F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47151" w:rsidRPr="0036601E">
              <w:rPr>
                <w:rFonts w:ascii="Arial" w:hAnsi="Arial" w:cs="Arial"/>
              </w:rPr>
              <w:t>edarbetaren</w:t>
            </w:r>
            <w:r>
              <w:rPr>
                <w:rFonts w:ascii="Arial" w:hAnsi="Arial" w:cs="Arial"/>
              </w:rPr>
              <w:t xml:space="preserve"> bedöms mot normalt förekommande arbeten </w:t>
            </w:r>
            <w:r w:rsidR="00B91E74">
              <w:rPr>
                <w:rFonts w:ascii="Arial" w:hAnsi="Arial" w:cs="Arial"/>
              </w:rPr>
              <w:t xml:space="preserve">på arbetsmarknaden, </w:t>
            </w:r>
            <w:r>
              <w:rPr>
                <w:rFonts w:ascii="Arial" w:hAnsi="Arial" w:cs="Arial"/>
              </w:rPr>
              <w:t>inom angiven yrkesgrupp</w:t>
            </w:r>
            <w:r w:rsidR="00747151" w:rsidRPr="0036601E">
              <w:rPr>
                <w:rFonts w:ascii="Arial" w:hAnsi="Arial" w:cs="Arial"/>
              </w:rPr>
              <w:t xml:space="preserve">. </w:t>
            </w:r>
            <w:r w:rsidR="00B91E74">
              <w:rPr>
                <w:rFonts w:ascii="Arial" w:hAnsi="Arial" w:cs="Arial"/>
              </w:rPr>
              <w:t>Bedöms</w:t>
            </w:r>
            <w:r w:rsidR="00747151" w:rsidRPr="0036601E">
              <w:rPr>
                <w:rFonts w:ascii="Arial" w:hAnsi="Arial" w:cs="Arial"/>
              </w:rPr>
              <w:t xml:space="preserve"> medarbetare</w:t>
            </w:r>
            <w:r w:rsidR="00B91E74">
              <w:rPr>
                <w:rFonts w:ascii="Arial" w:hAnsi="Arial" w:cs="Arial"/>
              </w:rPr>
              <w:t>n kunna</w:t>
            </w:r>
            <w:r w:rsidR="00747151" w:rsidRPr="0036601E">
              <w:rPr>
                <w:rFonts w:ascii="Arial" w:hAnsi="Arial" w:cs="Arial"/>
              </w:rPr>
              <w:t xml:space="preserve"> utföra arbete hos annan AG upphör sjukpenning från FK.</w:t>
            </w:r>
            <w:r w:rsidR="00B91E74">
              <w:rPr>
                <w:rFonts w:ascii="Arial" w:hAnsi="Arial" w:cs="Arial"/>
              </w:rPr>
              <w:t xml:space="preserve"> </w:t>
            </w:r>
          </w:p>
          <w:p w:rsidR="00B91E74" w:rsidRDefault="00B91E74" w:rsidP="004F3E8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E58E3" w:rsidRDefault="00B91E74" w:rsidP="004F3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Medarbetare 60 år eller äldre bedöms mot normalt förekommande arbete som de har erfarenhet av under de senaste 15 åren eller andra lämpliga arbeten tillgängliga.</w:t>
            </w:r>
          </w:p>
          <w:p w:rsidR="00B91E74" w:rsidRDefault="00B91E74" w:rsidP="004F3E82"/>
        </w:tc>
        <w:tc>
          <w:tcPr>
            <w:tcW w:w="1969" w:type="dxa"/>
          </w:tcPr>
          <w:p w:rsidR="009E58E3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  <w:bCs/>
                <w:iCs/>
              </w:rPr>
            </w:pPr>
            <w:r w:rsidRPr="0036601E">
              <w:rPr>
                <w:rFonts w:ascii="Arial" w:hAnsi="Arial" w:cs="Arial"/>
                <w:b/>
                <w:bCs/>
                <w:iCs/>
              </w:rPr>
              <w:t>Dag 366</w:t>
            </w:r>
          </w:p>
          <w:p w:rsidR="009E58E3" w:rsidRDefault="009E58E3" w:rsidP="004F3E82"/>
        </w:tc>
        <w:tc>
          <w:tcPr>
            <w:tcW w:w="5827" w:type="dxa"/>
          </w:tcPr>
          <w:p w:rsidR="00747151" w:rsidRPr="0036601E" w:rsidRDefault="00747151" w:rsidP="004F3E82">
            <w:r w:rsidRPr="0036601E">
              <w:rPr>
                <w:rFonts w:ascii="Arial" w:hAnsi="Arial" w:cs="Arial"/>
              </w:rPr>
              <w:t>Medarbetaren bedöms utifrån hela arbetsmarknaden. Kan medarbetaren inte utföra ngt arbete någonstans fortlöper ersättningsperioden.</w:t>
            </w:r>
          </w:p>
          <w:p w:rsidR="009E58E3" w:rsidRDefault="009E58E3" w:rsidP="004F3E82"/>
        </w:tc>
        <w:tc>
          <w:tcPr>
            <w:tcW w:w="1969" w:type="dxa"/>
          </w:tcPr>
          <w:p w:rsidR="009E58E3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  <w:bCs/>
                <w:iCs/>
              </w:rPr>
            </w:pPr>
            <w:r w:rsidRPr="0036601E">
              <w:rPr>
                <w:rFonts w:ascii="Arial" w:hAnsi="Arial" w:cs="Arial"/>
                <w:b/>
                <w:bCs/>
                <w:iCs/>
              </w:rPr>
              <w:t>Indragen sjukpenning</w:t>
            </w:r>
          </w:p>
          <w:p w:rsidR="009E58E3" w:rsidRDefault="009E58E3" w:rsidP="004F3E82"/>
        </w:tc>
        <w:tc>
          <w:tcPr>
            <w:tcW w:w="5827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</w:rPr>
            </w:pPr>
            <w:r w:rsidRPr="0036601E">
              <w:rPr>
                <w:rFonts w:ascii="Arial" w:hAnsi="Arial" w:cs="Arial"/>
              </w:rPr>
              <w:t xml:space="preserve">Blir sjukpenningen indragen tar AFA vid och betalar 80% av medarbetarens lön i 180 dagar, </w:t>
            </w:r>
            <w:r w:rsidRPr="0036601E">
              <w:rPr>
                <w:rFonts w:ascii="Arial" w:hAnsi="Arial" w:cs="Arial"/>
                <w:b/>
              </w:rPr>
              <w:t xml:space="preserve">om </w:t>
            </w:r>
            <w:r w:rsidRPr="0036601E">
              <w:rPr>
                <w:rFonts w:ascii="Arial" w:hAnsi="Arial" w:cs="Arial"/>
              </w:rPr>
              <w:t xml:space="preserve">medarbetaren är fortsatt sjukskriven samt skickar sitt beslut om indragen sjukpenning till personalenheten. </w:t>
            </w:r>
            <w:r w:rsidRPr="0036601E">
              <w:rPr>
                <w:rFonts w:ascii="Arial" w:hAnsi="Arial" w:cs="Arial"/>
                <w:b/>
              </w:rPr>
              <w:t>Medarbetaren måste själv anmäla sig till AFA.</w:t>
            </w:r>
          </w:p>
          <w:p w:rsidR="00747151" w:rsidRPr="0036601E" w:rsidRDefault="00747151" w:rsidP="004F3E82">
            <w:pPr>
              <w:rPr>
                <w:rFonts w:ascii="Arial" w:hAnsi="Arial" w:cs="Arial"/>
              </w:rPr>
            </w:pPr>
            <w:r w:rsidRPr="0036601E">
              <w:rPr>
                <w:rFonts w:ascii="Arial" w:hAnsi="Arial" w:cs="Arial"/>
              </w:rPr>
              <w:t xml:space="preserve">Medarbetaren </w:t>
            </w:r>
            <w:r w:rsidRPr="0036601E">
              <w:rPr>
                <w:rFonts w:ascii="Arial" w:hAnsi="Arial" w:cs="Arial"/>
                <w:b/>
              </w:rPr>
              <w:t>måste</w:t>
            </w:r>
            <w:r w:rsidRPr="0036601E">
              <w:rPr>
                <w:rFonts w:ascii="Arial" w:hAnsi="Arial" w:cs="Arial"/>
              </w:rPr>
              <w:t xml:space="preserve"> anmäla sig till </w:t>
            </w:r>
            <w:r w:rsidRPr="0036601E">
              <w:rPr>
                <w:rFonts w:ascii="Arial" w:hAnsi="Arial" w:cs="Arial"/>
                <w:b/>
              </w:rPr>
              <w:t>Arbetsförmedlingen</w:t>
            </w:r>
            <w:r w:rsidRPr="0036601E">
              <w:rPr>
                <w:rFonts w:ascii="Arial" w:hAnsi="Arial" w:cs="Arial"/>
              </w:rPr>
              <w:t xml:space="preserve"> senast dagen efter det datumet sjukpenningen blivit indragen för att behålla sin sjukpenninggrundande inkomst.</w:t>
            </w:r>
          </w:p>
          <w:p w:rsidR="009E58E3" w:rsidRDefault="009E58E3" w:rsidP="004F3E82"/>
        </w:tc>
        <w:tc>
          <w:tcPr>
            <w:tcW w:w="1969" w:type="dxa"/>
          </w:tcPr>
          <w:p w:rsidR="009E58E3" w:rsidRDefault="009E58E3" w:rsidP="004F3E82"/>
        </w:tc>
      </w:tr>
      <w:tr w:rsidR="009E58E3" w:rsidTr="004F3E82">
        <w:tc>
          <w:tcPr>
            <w:tcW w:w="1668" w:type="dxa"/>
          </w:tcPr>
          <w:p w:rsidR="00747151" w:rsidRPr="0036601E" w:rsidRDefault="00747151" w:rsidP="004F3E82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t>Förtydligande</w:t>
            </w:r>
            <w:r w:rsidRPr="00BB523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6601E">
              <w:rPr>
                <w:rFonts w:ascii="Arial" w:hAnsi="Arial" w:cs="Arial"/>
                <w:b/>
                <w:bCs/>
                <w:iCs/>
                <w:u w:val="single"/>
              </w:rPr>
              <w:t>Särskilda skäl</w:t>
            </w:r>
          </w:p>
          <w:p w:rsidR="009E58E3" w:rsidRDefault="009E58E3" w:rsidP="004F3E82"/>
        </w:tc>
        <w:tc>
          <w:tcPr>
            <w:tcW w:w="5827" w:type="dxa"/>
          </w:tcPr>
          <w:p w:rsidR="009E58E3" w:rsidRDefault="00747151" w:rsidP="004F3E82">
            <w:r w:rsidRPr="0036601E">
              <w:rPr>
                <w:rFonts w:ascii="Arial" w:hAnsi="Arial" w:cs="Arial"/>
                <w:bCs/>
                <w:iCs/>
              </w:rPr>
              <w:t xml:space="preserve">Försäkringskassans bedömning ser olika ut beroende på vart medarbetaren befinner sig i sjukskrivningsperioden, dag 15–90, 91-180, 181-365 som nämnt i checklistan ovan. </w:t>
            </w:r>
            <w:r w:rsidRPr="0036601E">
              <w:rPr>
                <w:rFonts w:ascii="Arial" w:hAnsi="Arial" w:cs="Arial"/>
              </w:rPr>
              <w:t xml:space="preserve">Bedömningsföljden undantas dock om det är </w:t>
            </w:r>
            <w:r w:rsidRPr="0036601E">
              <w:rPr>
                <w:rFonts w:ascii="Arial" w:hAnsi="Arial" w:cs="Arial"/>
                <w:bCs/>
                <w:iCs/>
              </w:rPr>
              <w:t xml:space="preserve">högst sannolikt att medarbetaren kan väntas vara åter i arbete hos AG inom 90, 180 eller 365 dagar vid en lyckad behandling. Det </w:t>
            </w:r>
            <w:r w:rsidRPr="0036601E">
              <w:rPr>
                <w:rFonts w:ascii="Arial" w:hAnsi="Arial" w:cs="Arial"/>
                <w:bCs/>
                <w:iCs/>
              </w:rPr>
              <w:lastRenderedPageBreak/>
              <w:t xml:space="preserve">betyder att om en medarbetare väntar på t. ex. en operation som förväntas medföra att medarbetaren helt tillfrisknar och kan återgå i arbete, fortsätter medarbetaren att bedömas utifrån om denne kan utföra sina </w:t>
            </w:r>
            <w:r w:rsidRPr="0036601E">
              <w:rPr>
                <w:rFonts w:ascii="Arial" w:hAnsi="Arial" w:cs="Arial"/>
                <w:b/>
                <w:bCs/>
                <w:iCs/>
              </w:rPr>
              <w:t>ursprungliga</w:t>
            </w:r>
            <w:r w:rsidRPr="0036601E">
              <w:rPr>
                <w:rFonts w:ascii="Arial" w:hAnsi="Arial" w:cs="Arial"/>
                <w:bCs/>
                <w:iCs/>
              </w:rPr>
              <w:t xml:space="preserve"> arbetsuppgifter.</w:t>
            </w:r>
          </w:p>
        </w:tc>
        <w:tc>
          <w:tcPr>
            <w:tcW w:w="1969" w:type="dxa"/>
          </w:tcPr>
          <w:p w:rsidR="009E58E3" w:rsidRDefault="009E58E3" w:rsidP="004F3E82"/>
        </w:tc>
      </w:tr>
    </w:tbl>
    <w:p w:rsidR="004A66E1" w:rsidRPr="00747151" w:rsidRDefault="004A66E1">
      <w:pPr>
        <w:rPr>
          <w:b/>
        </w:rPr>
      </w:pPr>
    </w:p>
    <w:sectPr w:rsidR="004A66E1" w:rsidRPr="00747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51" w:rsidRDefault="00747151" w:rsidP="00747151">
      <w:r>
        <w:separator/>
      </w:r>
    </w:p>
  </w:endnote>
  <w:endnote w:type="continuationSeparator" w:id="0">
    <w:p w:rsidR="00747151" w:rsidRDefault="00747151" w:rsidP="007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51" w:rsidRDefault="00747151" w:rsidP="00747151">
      <w:r>
        <w:separator/>
      </w:r>
    </w:p>
  </w:footnote>
  <w:footnote w:type="continuationSeparator" w:id="0">
    <w:p w:rsidR="00747151" w:rsidRDefault="00747151" w:rsidP="0074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51" w:rsidRPr="00747151" w:rsidRDefault="00747151" w:rsidP="00747151">
    <w:pPr>
      <w:rPr>
        <w:b/>
        <w:sz w:val="40"/>
        <w:szCs w:val="40"/>
      </w:rPr>
    </w:pPr>
    <w:r w:rsidRPr="00747151">
      <w:rPr>
        <w:b/>
        <w:sz w:val="40"/>
        <w:szCs w:val="40"/>
      </w:rPr>
      <w:t>Checklista Försäkringskassan</w:t>
    </w:r>
  </w:p>
  <w:p w:rsidR="00747151" w:rsidRDefault="00747151">
    <w:pPr>
      <w:pStyle w:val="Sidhuvud"/>
    </w:pPr>
  </w:p>
  <w:p w:rsidR="00747151" w:rsidRDefault="007471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3"/>
    <w:rsid w:val="001D4FCD"/>
    <w:rsid w:val="004A66E1"/>
    <w:rsid w:val="004F3E82"/>
    <w:rsid w:val="00521F20"/>
    <w:rsid w:val="00747151"/>
    <w:rsid w:val="009E58E3"/>
    <w:rsid w:val="00B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4C149"/>
  <w15:chartTrackingRefBased/>
  <w15:docId w15:val="{7DABA6CA-5DF8-4F97-B1FF-DB4A33D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Lptext"/>
    <w:qFormat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pPr>
      <w:spacing w:before="120" w:after="120"/>
    </w:pPr>
    <w:rPr>
      <w:szCs w:val="20"/>
    </w:rPr>
  </w:style>
  <w:style w:type="paragraph" w:customStyle="1" w:styleId="Lptext">
    <w:name w:val="Löptext"/>
    <w:basedOn w:val="Normal"/>
    <w:pPr>
      <w:spacing w:after="240"/>
    </w:pPr>
    <w:rPr>
      <w:szCs w:val="20"/>
    </w:rPr>
  </w:style>
  <w:style w:type="paragraph" w:styleId="Sidfot">
    <w:name w:val="footer"/>
    <w:basedOn w:val="Normal"/>
    <w:semiHidden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  <w:rPr>
      <w:szCs w:val="20"/>
    </w:rPr>
  </w:style>
  <w:style w:type="character" w:customStyle="1" w:styleId="E-postmall20">
    <w:name w:val="E-postmall20"/>
    <w:basedOn w:val="Standardstycketeckensnitt"/>
    <w:rPr>
      <w:rFonts w:ascii="Arial" w:hAnsi="Arial" w:cs="Arial"/>
      <w:color w:val="auto"/>
      <w:sz w:val="20"/>
    </w:rPr>
  </w:style>
  <w:style w:type="character" w:customStyle="1" w:styleId="E-postmall21">
    <w:name w:val="E-postmall21"/>
    <w:basedOn w:val="Standardstycketeckensnitt"/>
    <w:rPr>
      <w:rFonts w:ascii="Arial" w:hAnsi="Arial" w:cs="Arial"/>
      <w:color w:val="auto"/>
      <w:sz w:val="20"/>
    </w:rPr>
  </w:style>
  <w:style w:type="table" w:styleId="Tabellrutnt">
    <w:name w:val="Table Grid"/>
    <w:basedOn w:val="Normaltabell"/>
    <w:uiPriority w:val="59"/>
    <w:rsid w:val="009E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471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7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A73-53E8-4C02-9A02-7796464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Ahlqvist</dc:creator>
  <cp:keywords/>
  <dc:description/>
  <cp:lastModifiedBy>Frida Ahlqvist</cp:lastModifiedBy>
  <cp:revision>2</cp:revision>
  <dcterms:created xsi:type="dcterms:W3CDTF">2022-09-02T06:00:00Z</dcterms:created>
  <dcterms:modified xsi:type="dcterms:W3CDTF">2022-09-02T06:00:00Z</dcterms:modified>
</cp:coreProperties>
</file>